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9044B" w14:textId="77777777" w:rsidR="001632AF" w:rsidRDefault="001632AF">
      <w:pPr>
        <w:rPr>
          <w:lang w:val="kk-KZ"/>
        </w:rPr>
      </w:pPr>
    </w:p>
    <w:p w14:paraId="7B2395E3" w14:textId="77777777" w:rsidR="00843C58" w:rsidRPr="005F1CDF" w:rsidRDefault="00843C58" w:rsidP="00843C58">
      <w:pPr>
        <w:tabs>
          <w:tab w:val="left" w:pos="1276"/>
        </w:tabs>
        <w:spacing w:after="0"/>
        <w:jc w:val="both"/>
        <w:rPr>
          <w:rFonts w:ascii="Times New Roman" w:hAnsi="Times New Roman" w:cs="Times New Roman"/>
          <w:b/>
          <w:sz w:val="32"/>
          <w:szCs w:val="32"/>
          <w:lang w:val="kk-KZ"/>
        </w:rPr>
      </w:pPr>
      <w:r>
        <w:rPr>
          <w:rFonts w:ascii="Times New Roman" w:hAnsi="Times New Roman" w:cs="Times New Roman"/>
          <w:b/>
          <w:sz w:val="32"/>
          <w:szCs w:val="32"/>
          <w:lang w:val="kk-KZ"/>
        </w:rPr>
        <w:t>П</w:t>
      </w:r>
      <w:r w:rsidRPr="00BA390A">
        <w:rPr>
          <w:rFonts w:ascii="Times New Roman" w:hAnsi="Times New Roman" w:cs="Times New Roman"/>
          <w:b/>
          <w:sz w:val="32"/>
          <w:szCs w:val="32"/>
          <w:lang w:val="kk-KZ"/>
        </w:rPr>
        <w:t>С</w:t>
      </w:r>
      <w:r w:rsidRPr="00843C58">
        <w:rPr>
          <w:rFonts w:ascii="Times New Roman" w:hAnsi="Times New Roman" w:cs="Times New Roman"/>
          <w:b/>
          <w:sz w:val="32"/>
          <w:szCs w:val="32"/>
          <w:lang w:val="kk-KZ"/>
        </w:rPr>
        <w:t xml:space="preserve"> 6.</w:t>
      </w:r>
      <w:r w:rsidRPr="00BA390A">
        <w:rPr>
          <w:rFonts w:ascii="Times New Roman" w:hAnsi="Times New Roman" w:cs="Times New Roman"/>
          <w:b/>
          <w:sz w:val="32"/>
          <w:szCs w:val="32"/>
          <w:lang w:val="kk-KZ"/>
        </w:rPr>
        <w:t xml:space="preserve"> </w:t>
      </w:r>
      <w:r>
        <w:rPr>
          <w:rFonts w:ascii="Times New Roman" w:hAnsi="Times New Roman" w:cs="Times New Roman"/>
          <w:b/>
          <w:sz w:val="28"/>
          <w:szCs w:val="28"/>
          <w:lang w:val="kk-KZ"/>
        </w:rPr>
        <w:t>Тақырыбы:</w:t>
      </w:r>
      <w:r w:rsidRPr="005F1CDF">
        <w:rPr>
          <w:rFonts w:eastAsiaTheme="minorEastAsia"/>
          <w:sz w:val="20"/>
          <w:szCs w:val="20"/>
          <w:lang w:val="kk-KZ" w:eastAsia="ru-RU"/>
        </w:rPr>
        <w:t xml:space="preserve"> </w:t>
      </w:r>
      <w:r w:rsidRPr="005F1CDF">
        <w:rPr>
          <w:rFonts w:ascii="Times New Roman" w:eastAsiaTheme="minorEastAsia" w:hAnsi="Times New Roman" w:cs="Times New Roman"/>
          <w:sz w:val="32"/>
          <w:szCs w:val="32"/>
          <w:lang w:val="kk-KZ" w:eastAsia="ru-RU"/>
        </w:rPr>
        <w:t>Кадрлық саясат басқару жүйесінің әлеуеті</w:t>
      </w:r>
    </w:p>
    <w:p w14:paraId="1F3A16FC" w14:textId="77777777" w:rsidR="00843C58" w:rsidRPr="00843C58" w:rsidRDefault="00843C58" w:rsidP="00843C58">
      <w:pPr>
        <w:spacing w:after="0"/>
        <w:ind w:firstLine="709"/>
        <w:jc w:val="both"/>
        <w:rPr>
          <w:rFonts w:ascii="Times New Roman" w:hAnsi="Times New Roman" w:cs="Times New Roman"/>
          <w:sz w:val="32"/>
          <w:szCs w:val="32"/>
          <w:lang w:val="kk-KZ"/>
        </w:rPr>
      </w:pPr>
    </w:p>
    <w:p w14:paraId="1CF7498D" w14:textId="77777777" w:rsidR="00843C58" w:rsidRPr="0068068E" w:rsidRDefault="00843C58" w:rsidP="00843C58">
      <w:pPr>
        <w:spacing w:after="0"/>
        <w:jc w:val="both"/>
        <w:rPr>
          <w:rFonts w:ascii="Times New Roman" w:hAnsi="Times New Roman" w:cs="Times New Roman"/>
          <w:sz w:val="24"/>
          <w:szCs w:val="24"/>
          <w:lang w:val="kk-KZ"/>
        </w:rPr>
      </w:pPr>
      <w:r w:rsidRPr="0068068E">
        <w:rPr>
          <w:rFonts w:ascii="Times New Roman" w:hAnsi="Times New Roman" w:cs="Times New Roman"/>
          <w:sz w:val="24"/>
          <w:szCs w:val="24"/>
          <w:lang w:val="kk-KZ"/>
        </w:rPr>
        <w:t>Қазіргі кезе жалпы ұйымның кадрлық саясаты ұғымында жаңа жағдайларға сәйкес саясат терминінің мазмұны да өзгерді. Бүгін бұл қатал менеджменттің синонимі емес және әкімшілік – шаруашылық биліктің элементі емес, бүгін бұл концепция, стратегия немесе тактиканы немесе кадрлармен жұмыс істеу әдістер мен критерийлерді, мақсаттар, қағидалар және олардан туындайтын формалар жүйесін білдіреді. Осы тұрғыдан саясат термині басқару терминіне қарағанда кеңірек ұсынылады. Осылайша, кадрлық саясаттың келесі анықтамасын құрастыруға болады – кадрлық саясат бұл кәсіпорындағы персоналдың өзара қатынастарын реттейтін негізгі ережелер мен қағидалар, кәсіпорынның даму стратегиясын ескерумен персоналмен жұмыс істеудің стратегиялық жолын қалыптастырады. Кәсіпорын өзінің стартегиялық мақсаттарын табысты жүзеге асыру үшін кадрлық саясат ұйымға қандай өндірістік ұжым керектігін және олармен қалай жұмыс ұйымдастырылатын анықтайды. Әрине, барлық ұйымдар үшін ортақ кадрлық саясаттың мықты үлгісін құру мүмкін емес. Алайда, кез келген басшының табыс кепілі өз компаниясының белсенді, жартылай ашық кадрлық саясатын жүргізуге талпынысы болуы мүмкін. Әрбір ұйымда кадрлық саясатты тиімді қызмет үшін жетілдіру керек. Негізінен олар үшін келесі шаралар жүргізіледі: Біріншіден, басшыға кадрларды іріктеу және берілген жұмыстың толық кешенін: қызметкерді жұмысқа жалдаудан бастап жұмыстан босатуға дейінгі жүйелігін күшейту керек. Осының нәтижесінде көтермелеу процедуралары: вакансия, үміткер туралы ақпараттар, үміткерді көтермелеу құқығының регламентациясын ұсынатын жауапкершілік, талқылау процедуралары, лауазымға тағайындау жақсарады. Егер осы қадамдардың әрбіреуін бір бірінен жеке – жеке қолданатын болсақ, онда олар аса мәнді болмайды. Бірақ жиынтықта олар кадрларды іріктеу бойынша барлық жұмыстың жаңа сатысына көтеруге мүмкіндік береді. Екіншіден, ұйымның тұрақты жұмыс істеуі, оның дамуын жоспарлау үшін кәсіпорынның ұзақ мерзімді кадрлық саясатын жоспарлау аса маңызды болып табылады. Ол негізінен 3-5 жылға құрастырылатын адами ресурстар жоспарына негізделеді. Өндірістің жоспарланған даму қарқынына және жұмыс күші нарығы жағдайының болжамына сәйкес компанияларға болашақтағы штат саны мен құрылымын есептеу керек. Үшіншіден көптеген компанияларда кадрлар немесе адами ресурстарды басқару қызметінің бөлімшелері көбінесе кәсіпорындардағы жұмыскерлер санын жоспарлауға үйренген. Олардың басты міндеті – ұйымда жұмыскерлер санын штаттық кестеге сәйкес қамтамасыз ету болып табылады. Және де әрине ұйым штатында жоқ қызметкерлермен жеке құрамды жинақтау үшін белгілі бір кәсіптер бойынша ұсыныстар бар екендігіне көз еткізу үшін сыртқы ортаның факторларына талдау жүргізу</w:t>
      </w:r>
      <w:r w:rsidRPr="0068068E">
        <w:rPr>
          <w:rFonts w:ascii="Times New Roman" w:hAnsi="Times New Roman" w:cs="Times New Roman"/>
          <w:color w:val="252525"/>
          <w:sz w:val="24"/>
          <w:szCs w:val="24"/>
          <w:shd w:val="clear" w:color="auto" w:fill="EFEFEF"/>
          <w:lang w:val="kk-KZ"/>
        </w:rPr>
        <w:t>л, мемлекеттік қызметшінің кәсібилігі мен құзыреттілігін дамыту кәсіптік оқыту жүйесімен қамтамасыз етіледі. Сайып келгенде, тиімді мемлекеттік бас-қарудың қамтамасыз ету үшін барлық санаттағы мемлекеттік қызметшілердің кәсіби дамуы мен біліктілігін арттыру маңызды рөлге ие болады.</w:t>
      </w:r>
      <w:r w:rsidRPr="0068068E">
        <w:rPr>
          <w:rFonts w:ascii="Times New Roman" w:hAnsi="Times New Roman" w:cs="Times New Roman"/>
          <w:color w:val="252525"/>
          <w:sz w:val="24"/>
          <w:szCs w:val="24"/>
          <w:lang w:val="kk-KZ"/>
        </w:rPr>
        <w:br/>
      </w:r>
      <w:r w:rsidRPr="0068068E">
        <w:rPr>
          <w:rFonts w:ascii="Times New Roman" w:hAnsi="Times New Roman" w:cs="Times New Roman"/>
          <w:color w:val="252525"/>
          <w:sz w:val="24"/>
          <w:szCs w:val="24"/>
          <w:shd w:val="clear" w:color="auto" w:fill="EFEFEF"/>
          <w:lang w:val="kk-KZ"/>
        </w:rPr>
        <w:t>Жастар кадрлық резервін құру қажеттігі туралы Президент Қасым-Жомарт Тоқаевтың сайлауалды бағдарламасында алғаш көтерілген маңызды мәселелердің бірі болды.</w:t>
      </w:r>
      <w:r w:rsidRPr="0068068E">
        <w:rPr>
          <w:rFonts w:ascii="Times New Roman" w:hAnsi="Times New Roman" w:cs="Times New Roman"/>
          <w:color w:val="252525"/>
          <w:sz w:val="24"/>
          <w:szCs w:val="24"/>
          <w:lang w:val="kk-KZ"/>
        </w:rPr>
        <w:br/>
      </w:r>
      <w:r w:rsidRPr="0068068E">
        <w:rPr>
          <w:rFonts w:ascii="Times New Roman" w:hAnsi="Times New Roman" w:cs="Times New Roman"/>
          <w:color w:val="252525"/>
          <w:sz w:val="24"/>
          <w:szCs w:val="24"/>
          <w:shd w:val="clear" w:color="auto" w:fill="EFEFEF"/>
          <w:lang w:val="kk-KZ"/>
        </w:rPr>
        <w:t>Мемлекет басшысы резервтің жастар үшін тиімді әлеуметтік лифтіге айналатынын, іріктеуге барлық дерлік қызмет салаларынан, әртүрлі кәсіп иелері, квазимемлекеттік сектор, жекеменшік сектор, азаматтық қоғам өкілдерінің қатыса алуына мүмкіндік туындады.</w:t>
      </w:r>
      <w:r w:rsidRPr="0068068E">
        <w:rPr>
          <w:rFonts w:ascii="Times New Roman" w:hAnsi="Times New Roman" w:cs="Times New Roman"/>
          <w:color w:val="252525"/>
          <w:sz w:val="24"/>
          <w:szCs w:val="24"/>
          <w:lang w:val="kk-KZ"/>
        </w:rPr>
        <w:br/>
      </w:r>
      <w:r w:rsidRPr="0068068E">
        <w:rPr>
          <w:rFonts w:ascii="Times New Roman" w:hAnsi="Times New Roman" w:cs="Times New Roman"/>
          <w:color w:val="252525"/>
          <w:sz w:val="24"/>
          <w:szCs w:val="24"/>
          <w:shd w:val="clear" w:color="auto" w:fill="EFEFEF"/>
          <w:lang w:val="kk-KZ"/>
        </w:rPr>
        <w:t xml:space="preserve">Осы маңызды бастама көтеріл-геннен соң, шұғыл шешім қабылдауға қабілеті бар, өзгеріске даяр, түрлі жағдайларға тез бейімделе алатын, “жаңа формация” басшылары бола алатын, мемлекеттің жоғары басқарушылық қызметтерін атқаруға мүмкіндігі жететін үміткерлерді </w:t>
      </w:r>
      <w:r w:rsidRPr="0068068E">
        <w:rPr>
          <w:rFonts w:ascii="Times New Roman" w:hAnsi="Times New Roman" w:cs="Times New Roman"/>
          <w:color w:val="252525"/>
          <w:sz w:val="24"/>
          <w:szCs w:val="24"/>
          <w:shd w:val="clear" w:color="auto" w:fill="EFEFEF"/>
          <w:lang w:val="kk-KZ"/>
        </w:rPr>
        <w:lastRenderedPageBreak/>
        <w:t>біріктіретін жобалар легі жүзеге аса бастады.</w:t>
      </w:r>
      <w:r w:rsidRPr="0068068E">
        <w:rPr>
          <w:rFonts w:ascii="Times New Roman" w:hAnsi="Times New Roman" w:cs="Times New Roman"/>
          <w:color w:val="252525"/>
          <w:sz w:val="24"/>
          <w:szCs w:val="24"/>
          <w:lang w:val="kk-KZ"/>
        </w:rPr>
        <w:br/>
      </w:r>
      <w:r w:rsidRPr="0068068E">
        <w:rPr>
          <w:rFonts w:ascii="Times New Roman" w:hAnsi="Times New Roman" w:cs="Times New Roman"/>
          <w:color w:val="252525"/>
          <w:sz w:val="24"/>
          <w:szCs w:val="24"/>
          <w:shd w:val="clear" w:color="auto" w:fill="EFEFEF"/>
          <w:lang w:val="kk-KZ"/>
        </w:rPr>
        <w:t>Мемлекеттік қызметті кадрлармен қамтамасыз етуге бағытталған прогрессивті өзгерістер туралы толық деректер https://primeminister.kz/kz/news/interviews/prezidentskiy-molodezhnyy-kadrovyy-rezerv-chto-nuzhno-znat-chtoby-voyti-v-top-300 сілтемесінде ұсынылған. Бұл ретте, «кадрларды жалдау, даярлау және жоғарылату жүйесі жетілдірілді, персоналды басқарудың заманауи құралдары енгізілді, мемлекеттік қызметшілердің сапалық құрамы артты».</w:t>
      </w:r>
      <w:r w:rsidRPr="0068068E">
        <w:rPr>
          <w:rFonts w:ascii="Times New Roman" w:hAnsi="Times New Roman" w:cs="Times New Roman"/>
          <w:color w:val="252525"/>
          <w:sz w:val="24"/>
          <w:szCs w:val="24"/>
          <w:lang w:val="kk-KZ"/>
        </w:rPr>
        <w:br/>
      </w:r>
      <w:r w:rsidRPr="0068068E">
        <w:rPr>
          <w:rFonts w:ascii="Times New Roman" w:hAnsi="Times New Roman" w:cs="Times New Roman"/>
          <w:color w:val="252525"/>
          <w:sz w:val="24"/>
          <w:szCs w:val="24"/>
          <w:shd w:val="clear" w:color="auto" w:fill="EFEFEF"/>
          <w:lang w:val="kk-KZ"/>
        </w:rPr>
        <w:t>Мемлекеттік қызметтің мансаптық моделінің тұжырымдамасына сәй-кес мемлекеттік қызметке кіру төменгі лауазымдардан басталады. Сонымен қатар, құзыреттері мен кәсіби даярлығына сәйкес одан әрі мансаптық өсу қарастырылған. Бұл бүгінгі таңда мемлекеттік қызметте өз қызметін төменгі лауазымдардан бастаған мемлекеттік қызметшілер санының үш есеге жуық өсуіне қол жеткізуге мүмкіндік берді.</w:t>
      </w:r>
      <w:r w:rsidRPr="0068068E">
        <w:rPr>
          <w:rFonts w:ascii="Times New Roman" w:hAnsi="Times New Roman" w:cs="Times New Roman"/>
          <w:color w:val="252525"/>
          <w:sz w:val="24"/>
          <w:szCs w:val="24"/>
          <w:lang w:val="kk-KZ"/>
        </w:rPr>
        <w:br/>
      </w:r>
      <w:r w:rsidRPr="0068068E">
        <w:rPr>
          <w:rFonts w:ascii="Times New Roman" w:hAnsi="Times New Roman" w:cs="Times New Roman"/>
          <w:color w:val="252525"/>
          <w:sz w:val="24"/>
          <w:szCs w:val="24"/>
          <w:shd w:val="clear" w:color="auto" w:fill="EFEFEF"/>
          <w:lang w:val="kk-KZ"/>
        </w:rPr>
        <w:t>Президент Қасым-Жомарт Кемелұлы</w:t>
      </w:r>
      <w:r w:rsidRPr="0068068E">
        <w:rPr>
          <w:rFonts w:ascii="Times New Roman" w:hAnsi="Times New Roman" w:cs="Times New Roman"/>
          <w:color w:val="252525"/>
          <w:sz w:val="24"/>
          <w:szCs w:val="24"/>
          <w:lang w:val="kk-KZ"/>
        </w:rPr>
        <w:br/>
      </w:r>
      <w:r w:rsidRPr="0068068E">
        <w:rPr>
          <w:rFonts w:ascii="Times New Roman" w:hAnsi="Times New Roman" w:cs="Times New Roman"/>
          <w:color w:val="252525"/>
          <w:sz w:val="24"/>
          <w:szCs w:val="24"/>
          <w:shd w:val="clear" w:color="auto" w:fill="EFEFEF"/>
          <w:lang w:val="kk-KZ"/>
        </w:rPr>
        <w:t>Тоқаевтың Президенттік жастар кадрлық резервін құру туралы бастамасы – мемлекеттік аппараттың кадрлық әлеуетін қалыптастырудың маңызды элементі болды. Бұл – жас-тар үшін тиімді әлеуметтік лифт болады деп күтілуде және биліктің жоғарғы эшелонындағы соңғы тағайындаулар мұны растайды.</w:t>
      </w:r>
      <w:r w:rsidRPr="0068068E">
        <w:rPr>
          <w:rFonts w:ascii="Times New Roman" w:hAnsi="Times New Roman" w:cs="Times New Roman"/>
          <w:color w:val="252525"/>
          <w:sz w:val="24"/>
          <w:szCs w:val="24"/>
          <w:lang w:val="kk-KZ"/>
        </w:rPr>
        <w:br/>
      </w:r>
      <w:r w:rsidRPr="0068068E">
        <w:rPr>
          <w:rFonts w:ascii="Times New Roman" w:hAnsi="Times New Roman" w:cs="Times New Roman"/>
          <w:color w:val="252525"/>
          <w:sz w:val="24"/>
          <w:szCs w:val="24"/>
          <w:shd w:val="clear" w:color="auto" w:fill="EFEFEF"/>
          <w:lang w:val="kk-KZ"/>
        </w:rPr>
        <w:t>2013 жылдан бастап Қазақстанда «А» корпусы институты қалыптасты, Президенттік жастар кадрлық резерві мен «А» корпусының резерві әртүрлі бағдарламалар. Алдымен, жас ерекшелігі. Президенттік жастар кадрлық резерві жастарға арналған, сондықтан да Резервке 35 жастан аспаған адамдар кіреді.</w:t>
      </w:r>
      <w:r w:rsidRPr="0068068E">
        <w:rPr>
          <w:rFonts w:ascii="Times New Roman" w:hAnsi="Times New Roman" w:cs="Times New Roman"/>
          <w:color w:val="252525"/>
          <w:sz w:val="24"/>
          <w:szCs w:val="24"/>
          <w:lang w:val="kk-KZ"/>
        </w:rPr>
        <w:br/>
      </w:r>
      <w:r w:rsidRPr="0068068E">
        <w:rPr>
          <w:rFonts w:ascii="Times New Roman" w:hAnsi="Times New Roman" w:cs="Times New Roman"/>
          <w:color w:val="252525"/>
          <w:sz w:val="24"/>
          <w:szCs w:val="24"/>
          <w:shd w:val="clear" w:color="auto" w:fill="EFEFEF"/>
          <w:lang w:val="kk-KZ"/>
        </w:rPr>
        <w:t>«А» корпусының лауазымдарына жауапты хатшылардың, аппарат жетекшілерінің және комитеттер төрағалары қызметтері кіреді. лауазымдары кіретіні белгілі. Ал Президенттік жас кадрлық резервіндегі лауазымдардың ауқымы әлдеқайда кең: министрлер, вице-министрлер, облыстардың, қалалар, аудандар әкімдерінің лауазымдарын, ұлттық компаниялардың басқармаларының төрағалары мен басқарма мүшелерін қамтиды.</w:t>
      </w:r>
      <w:r w:rsidRPr="0068068E">
        <w:rPr>
          <w:rFonts w:ascii="Times New Roman" w:hAnsi="Times New Roman" w:cs="Times New Roman"/>
          <w:color w:val="252525"/>
          <w:sz w:val="24"/>
          <w:szCs w:val="24"/>
          <w:lang w:val="kk-KZ"/>
        </w:rPr>
        <w:br/>
      </w:r>
      <w:r w:rsidRPr="0068068E">
        <w:rPr>
          <w:rFonts w:ascii="Times New Roman" w:hAnsi="Times New Roman" w:cs="Times New Roman"/>
          <w:color w:val="252525"/>
          <w:sz w:val="24"/>
          <w:szCs w:val="24"/>
          <w:shd w:val="clear" w:color="auto" w:fill="EFEFEF"/>
          <w:lang w:val="kk-KZ"/>
        </w:rPr>
        <w:t>Үшіншіден, резервке таңдау процедурасында қоғамдағы барлық үрдістерді ескерусіз қалмаған.</w:t>
      </w:r>
    </w:p>
    <w:p w14:paraId="6C65EA92" w14:textId="77777777" w:rsidR="00E678CC" w:rsidRDefault="00E678CC">
      <w:pPr>
        <w:rPr>
          <w:lang w:val="kk-KZ"/>
        </w:rPr>
      </w:pPr>
    </w:p>
    <w:p w14:paraId="1267A4DD" w14:textId="77777777" w:rsidR="00E678CC" w:rsidRDefault="00E678CC">
      <w:pPr>
        <w:rPr>
          <w:lang w:val="kk-KZ"/>
        </w:rPr>
      </w:pPr>
    </w:p>
    <w:p w14:paraId="01147948" w14:textId="77777777" w:rsidR="00E678CC" w:rsidRDefault="00E678CC" w:rsidP="00E678CC">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0" w:name="_Hlk138942786"/>
      <w:r>
        <w:rPr>
          <w:rFonts w:ascii="Times New Roman" w:eastAsia="Times New Roman" w:hAnsi="Times New Roman" w:cs="Times New Roman"/>
          <w:b/>
          <w:sz w:val="20"/>
          <w:szCs w:val="20"/>
          <w:lang w:val="kk-KZ" w:eastAsia="ru-RU"/>
        </w:rPr>
        <w:t>Негізгі әдебиеттер:</w:t>
      </w:r>
    </w:p>
    <w:p w14:paraId="097D666C" w14:textId="77777777" w:rsidR="00E678CC" w:rsidRDefault="00E678CC" w:rsidP="00E678CC">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2ACEF79B" w14:textId="77777777" w:rsidR="00E678CC" w:rsidRDefault="00E678CC" w:rsidP="00E678CC">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1" w:name="_Hlk138936788"/>
      <w:bookmarkEnd w:id="0"/>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2"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2"/>
    </w:p>
    <w:p w14:paraId="60FDC764" w14:textId="77777777" w:rsidR="00E678CC" w:rsidRDefault="00E678CC" w:rsidP="00E678CC">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02D733DE" w14:textId="77777777" w:rsidR="00E678CC" w:rsidRDefault="00E678CC" w:rsidP="00E678CC">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14ED7011" w14:textId="77777777" w:rsidR="00E678CC" w:rsidRDefault="00E678CC" w:rsidP="00E678CC">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3F0FA4A" w14:textId="77777777" w:rsidR="00E678CC" w:rsidRDefault="00E678CC" w:rsidP="00E678CC">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7EBEEFFA" w14:textId="77777777" w:rsidR="00E678CC" w:rsidRDefault="00E678CC" w:rsidP="00E678CC">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7E0936D6" w14:textId="77777777" w:rsidR="00E678CC" w:rsidRDefault="00E678CC" w:rsidP="00E678CC">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4289BB09" w14:textId="77777777" w:rsidR="00E678CC" w:rsidRDefault="00E678CC" w:rsidP="00E678CC">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38D91585" w14:textId="77777777" w:rsidR="00E678CC" w:rsidRDefault="00E678CC" w:rsidP="00E678CC">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7B1B7391" w14:textId="77777777" w:rsidR="00E678CC" w:rsidRDefault="00E678CC" w:rsidP="00E678CC">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672D833A" w14:textId="77777777" w:rsidR="00E678CC" w:rsidRDefault="00E678CC" w:rsidP="00E678CC">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58102428" w14:textId="77777777" w:rsidR="00E678CC" w:rsidRDefault="00E678CC" w:rsidP="00E678CC">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7E47F56F" w14:textId="77777777" w:rsidR="00E678CC" w:rsidRDefault="00E678CC" w:rsidP="00E678CC">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299F9A89" w14:textId="77777777" w:rsidR="00E678CC" w:rsidRDefault="00E678CC" w:rsidP="00E678CC">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lastRenderedPageBreak/>
        <w:t>14. Васильев В.П., Деханова Н.Г., Холоденко Ю.А. Государственное и муниципиальное управление-М.: Юрайт, 2023-314 с.</w:t>
      </w:r>
    </w:p>
    <w:p w14:paraId="6AF8534E" w14:textId="77777777" w:rsidR="00E678CC" w:rsidRDefault="00E678CC" w:rsidP="00E678CC">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53A0D9DC" w14:textId="77777777" w:rsidR="00E678CC" w:rsidRDefault="00E678CC" w:rsidP="00E678CC">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5CD2B6F2" w14:textId="77777777" w:rsidR="00E678CC" w:rsidRDefault="00E678CC" w:rsidP="00E678CC">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1AC13C94" w14:textId="77777777" w:rsidR="00E678CC" w:rsidRDefault="00E678CC" w:rsidP="00E678CC">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023DCB5E" w14:textId="77777777" w:rsidR="00E678CC" w:rsidRDefault="00E678CC" w:rsidP="00E678CC">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17AF8136" w14:textId="77777777" w:rsidR="00E678CC" w:rsidRDefault="00E678CC" w:rsidP="00E678CC">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42FCA09A" w14:textId="77777777" w:rsidR="00E678CC" w:rsidRDefault="00E678CC" w:rsidP="00E678CC">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70AA1653" w14:textId="77777777" w:rsidR="00E678CC" w:rsidRDefault="00E678CC" w:rsidP="00E678CC">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48275AF3" w14:textId="77777777" w:rsidR="00E678CC" w:rsidRDefault="00E678CC" w:rsidP="00E678CC">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28D8EC3A" w14:textId="77777777" w:rsidR="00E678CC" w:rsidRDefault="00E678CC" w:rsidP="00E678CC">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24EB3FA5" w14:textId="77777777" w:rsidR="00E678CC" w:rsidRDefault="00E678CC" w:rsidP="00E678CC">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6FF556DC" w14:textId="77777777" w:rsidR="00E678CC" w:rsidRDefault="00E678CC" w:rsidP="00E678CC">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32121F6C" w14:textId="77777777" w:rsidR="00E678CC" w:rsidRDefault="00E678CC" w:rsidP="00E678CC">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7C4C427B" w14:textId="77777777" w:rsidR="00E678CC" w:rsidRDefault="00E678CC" w:rsidP="00E678CC">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149F5722" w14:textId="77777777" w:rsidR="00E678CC" w:rsidRDefault="00E678CC" w:rsidP="00E678CC">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3FDE5CF0" w14:textId="77777777" w:rsidR="00E678CC" w:rsidRDefault="00E678CC" w:rsidP="00E678CC">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3"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50A035C2" w14:textId="77777777" w:rsidR="00E678CC" w:rsidRDefault="00E678CC" w:rsidP="00E678CC">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2D3B33C3" w14:textId="77777777" w:rsidR="00E678CC" w:rsidRDefault="00E678CC" w:rsidP="00E678CC">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533D82FA" w14:textId="77777777" w:rsidR="00E678CC" w:rsidRDefault="00E678CC" w:rsidP="00E678CC">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79D68111" w14:textId="77777777" w:rsidR="00E678CC" w:rsidRDefault="00E678CC" w:rsidP="00E678CC">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3522579F" w14:textId="77777777" w:rsidR="00E678CC" w:rsidRDefault="00E678CC" w:rsidP="00E678CC">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3"/>
    <w:p w14:paraId="01883EB7" w14:textId="77777777" w:rsidR="00E678CC" w:rsidRDefault="00E678CC" w:rsidP="00E678CC">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62DA9EB0" w14:textId="77777777" w:rsidR="00E678CC" w:rsidRDefault="00E678CC" w:rsidP="00E678CC">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7806A638" w14:textId="77777777" w:rsidR="00E678CC" w:rsidRDefault="00E678CC" w:rsidP="00E678CC">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3223A74F" w14:textId="77777777" w:rsidR="00E678CC" w:rsidRDefault="00E678CC" w:rsidP="00E678CC">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1CD64A02" w14:textId="77777777" w:rsidR="00E678CC" w:rsidRDefault="00E678CC" w:rsidP="00E678CC">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63E1ED11" w14:textId="77777777" w:rsidR="00E678CC" w:rsidRDefault="00E678CC" w:rsidP="00E678CC">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6D5083CF" w14:textId="77777777" w:rsidR="00E678CC" w:rsidRDefault="00E678CC" w:rsidP="00E678CC">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44DD85D9" w14:textId="77777777" w:rsidR="00E678CC" w:rsidRDefault="00E678CC" w:rsidP="00E678CC">
      <w:pPr>
        <w:spacing w:after="0" w:line="240" w:lineRule="auto"/>
        <w:rPr>
          <w:rFonts w:ascii="Times New Roman" w:eastAsiaTheme="minorEastAsia" w:hAnsi="Times New Roman" w:cs="Times New Roman"/>
          <w:b/>
          <w:bCs/>
          <w:color w:val="000000" w:themeColor="text1"/>
          <w:sz w:val="20"/>
          <w:szCs w:val="20"/>
          <w:lang w:val="kk-KZ" w:eastAsia="ru-RU"/>
        </w:rPr>
      </w:pPr>
    </w:p>
    <w:p w14:paraId="0164B42C" w14:textId="77777777" w:rsidR="00E678CC" w:rsidRDefault="00E678CC" w:rsidP="00E678CC">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0F60A366" w14:textId="77777777" w:rsidR="00E678CC" w:rsidRDefault="00E678CC" w:rsidP="00E678CC">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0969485E" w14:textId="77777777" w:rsidR="00E678CC" w:rsidRDefault="00E678CC" w:rsidP="00E678C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2709E1A1" w14:textId="77777777" w:rsidR="00E678CC" w:rsidRDefault="00E678CC" w:rsidP="00E678C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121A468" w14:textId="77777777" w:rsidR="00E678CC" w:rsidRDefault="00E678CC" w:rsidP="00E678CC">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42AD13D8" w14:textId="77777777" w:rsidR="00E678CC" w:rsidRDefault="00E678CC" w:rsidP="00E678C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04DF1067" w14:textId="77777777" w:rsidR="00E678CC" w:rsidRDefault="00E678CC" w:rsidP="00E678CC">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C84E51B" w14:textId="77777777" w:rsidR="00E678CC" w:rsidRDefault="00E678CC" w:rsidP="00E678CC">
      <w:pPr>
        <w:spacing w:after="0" w:line="240" w:lineRule="auto"/>
        <w:ind w:left="1" w:hanging="1"/>
        <w:contextualSpacing/>
        <w:rPr>
          <w:rFonts w:ascii="Times New Roman" w:eastAsiaTheme="minorEastAsia" w:hAnsi="Times New Roman" w:cs="Times New Roman"/>
          <w:sz w:val="20"/>
          <w:szCs w:val="20"/>
          <w:lang w:val="kk-KZ" w:eastAsia="ru-RU"/>
        </w:rPr>
      </w:pPr>
      <w:bookmarkStart w:id="4" w:name="_Hlk145168752"/>
      <w:r>
        <w:rPr>
          <w:rFonts w:ascii="Times New Roman" w:eastAsiaTheme="minorEastAsia" w:hAnsi="Times New Roman" w:cs="Times New Roman"/>
          <w:sz w:val="20"/>
          <w:szCs w:val="20"/>
          <w:lang w:val="kk-KZ" w:eastAsia="ru-RU"/>
        </w:rPr>
        <w:lastRenderedPageBreak/>
        <w:t>7. Оксфорд  экономика сөздігі  = A Dictionary of Economics (Oxford Quick Reference) : сөздік  -Алматы : "Ұлттық аударма бюросы" ҚҚ, 2019 - 606 б.</w:t>
      </w:r>
    </w:p>
    <w:p w14:paraId="115624AA" w14:textId="77777777" w:rsidR="00E678CC" w:rsidRDefault="00E678CC" w:rsidP="00E678C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30C937F2" w14:textId="77777777" w:rsidR="00E678CC" w:rsidRDefault="00E678CC" w:rsidP="00E678C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3273FC82" w14:textId="77777777" w:rsidR="00E678CC" w:rsidRDefault="00E678CC" w:rsidP="00E678C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26AAC68B" w14:textId="77777777" w:rsidR="00E678CC" w:rsidRDefault="00E678CC" w:rsidP="00E678C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008F88A2" w14:textId="77777777" w:rsidR="00E678CC" w:rsidRDefault="00E678CC" w:rsidP="00E678C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1D7962EE" w14:textId="77777777" w:rsidR="00E678CC" w:rsidRDefault="00E678CC" w:rsidP="00E678C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4D50127" w14:textId="77777777" w:rsidR="00E678CC" w:rsidRDefault="00E678CC" w:rsidP="00E678C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A9A1F75" w14:textId="77777777" w:rsidR="00E678CC" w:rsidRDefault="00E678CC" w:rsidP="00E678C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55B5850C" w14:textId="77777777" w:rsidR="00E678CC" w:rsidRDefault="00E678CC" w:rsidP="00E678C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2FBE0A62" w14:textId="77777777" w:rsidR="00E678CC" w:rsidRDefault="00E678CC" w:rsidP="00E678CC">
      <w:pPr>
        <w:spacing w:after="0" w:line="240" w:lineRule="auto"/>
        <w:rPr>
          <w:rFonts w:ascii="Times New Roman" w:eastAsiaTheme="minorEastAsia" w:hAnsi="Times New Roman" w:cs="Times New Roman"/>
          <w:color w:val="000000" w:themeColor="text1"/>
          <w:sz w:val="20"/>
          <w:szCs w:val="20"/>
          <w:lang w:val="kk-KZ" w:eastAsia="ru-RU"/>
        </w:rPr>
      </w:pPr>
    </w:p>
    <w:p w14:paraId="28A11018" w14:textId="77777777" w:rsidR="00E678CC" w:rsidRDefault="00E678CC" w:rsidP="00E678CC">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45F32EED" w14:textId="77777777" w:rsidR="00E678CC" w:rsidRDefault="00E678CC" w:rsidP="00E678CC">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1D5C1B82" w14:textId="77777777" w:rsidR="00E678CC" w:rsidRDefault="00E678CC" w:rsidP="00E678CC">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4"/>
    <w:p w14:paraId="719802CB" w14:textId="77777777" w:rsidR="00E678CC" w:rsidRDefault="00E678CC" w:rsidP="00E678CC">
      <w:pPr>
        <w:spacing w:after="0" w:line="240" w:lineRule="auto"/>
        <w:rPr>
          <w:rFonts w:ascii="Times New Roman" w:eastAsiaTheme="minorEastAsia" w:hAnsi="Times New Roman" w:cs="Times New Roman"/>
          <w:b/>
          <w:bCs/>
          <w:color w:val="000000"/>
          <w:sz w:val="20"/>
          <w:szCs w:val="20"/>
          <w:lang w:val="kk-KZ" w:eastAsia="ru-RU"/>
        </w:rPr>
      </w:pPr>
    </w:p>
    <w:p w14:paraId="6FB02B44" w14:textId="77777777" w:rsidR="00E678CC" w:rsidRDefault="00E678CC" w:rsidP="00E678CC">
      <w:pPr>
        <w:spacing w:after="0" w:line="240" w:lineRule="auto"/>
        <w:rPr>
          <w:rFonts w:ascii="Times New Roman" w:eastAsiaTheme="minorEastAsia" w:hAnsi="Times New Roman" w:cs="Times New Roman"/>
          <w:b/>
          <w:bCs/>
          <w:color w:val="000000"/>
          <w:sz w:val="20"/>
          <w:szCs w:val="20"/>
          <w:lang w:val="kk-KZ" w:eastAsia="ru-RU"/>
        </w:rPr>
      </w:pPr>
    </w:p>
    <w:p w14:paraId="5478C3EA" w14:textId="77777777" w:rsidR="00E678CC" w:rsidRDefault="00E678CC" w:rsidP="00E678CC">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3800DDB9" w14:textId="77777777" w:rsidR="00E678CC" w:rsidRDefault="00E678CC" w:rsidP="00E678CC">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c"/>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1"/>
    <w:p w14:paraId="1446C366" w14:textId="77777777" w:rsidR="00E678CC" w:rsidRDefault="00E678CC" w:rsidP="00E678CC">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c"/>
            <w:rFonts w:ascii="Times New Roman" w:hAnsi="Times New Roman" w:cs="Times New Roman"/>
            <w:color w:val="000000" w:themeColor="text1"/>
            <w:sz w:val="20"/>
            <w:szCs w:val="20"/>
            <w:lang w:val="kk-KZ"/>
          </w:rPr>
          <w:t>https://urait.ru/bcode/544646</w:t>
        </w:r>
      </w:hyperlink>
    </w:p>
    <w:p w14:paraId="79C2D494" w14:textId="77777777" w:rsidR="00E678CC" w:rsidRDefault="00E678CC" w:rsidP="00E678CC">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c"/>
            <w:rFonts w:ascii="Times New Roman" w:hAnsi="Times New Roman" w:cs="Times New Roman"/>
            <w:color w:val="000000" w:themeColor="text1"/>
            <w:sz w:val="20"/>
            <w:szCs w:val="20"/>
            <w:lang w:val="kk-KZ"/>
          </w:rPr>
          <w:t>https://urait.ru/bcode/536865</w:t>
        </w:r>
      </w:hyperlink>
    </w:p>
    <w:p w14:paraId="1A03EA21" w14:textId="77777777" w:rsidR="00E678CC" w:rsidRPr="00E678CC" w:rsidRDefault="00E678CC">
      <w:pPr>
        <w:rPr>
          <w:lang w:val="kk-KZ"/>
        </w:rPr>
      </w:pPr>
    </w:p>
    <w:sectPr w:rsidR="00E678CC" w:rsidRPr="00E678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99787618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477782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6980897">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3598247">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3282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15"/>
    <w:rsid w:val="00061B15"/>
    <w:rsid w:val="001632AF"/>
    <w:rsid w:val="00310446"/>
    <w:rsid w:val="003E6D87"/>
    <w:rsid w:val="005D6D5E"/>
    <w:rsid w:val="00843C58"/>
    <w:rsid w:val="00907314"/>
    <w:rsid w:val="00E67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7C33"/>
  <w15:chartTrackingRefBased/>
  <w15:docId w15:val="{F22B5232-ADF0-45EC-8FEA-48D40440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8CC"/>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E678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74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1942</Words>
  <Characters>11076</Characters>
  <Application>Microsoft Office Word</Application>
  <DocSecurity>0</DocSecurity>
  <Lines>92</Lines>
  <Paragraphs>25</Paragraphs>
  <ScaleCrop>false</ScaleCrop>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2024-05-21T15:09:00Z</dcterms:created>
  <dcterms:modified xsi:type="dcterms:W3CDTF">2024-05-22T03:48:00Z</dcterms:modified>
</cp:coreProperties>
</file>